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CC" w:rsidRPr="00A317EC" w:rsidRDefault="00EF4DCC" w:rsidP="00562DB8">
      <w:pPr>
        <w:pStyle w:val="a3"/>
        <w:spacing w:line="400" w:lineRule="exact"/>
        <w:jc w:val="both"/>
        <w:rPr>
          <w:rFonts w:ascii="標楷體" w:eastAsia="標楷體" w:hAnsi="標楷體"/>
          <w:sz w:val="40"/>
        </w:rPr>
      </w:pPr>
      <w:bookmarkStart w:id="0" w:name="_GoBack"/>
      <w:bookmarkEnd w:id="0"/>
      <w:r>
        <w:rPr>
          <w:rFonts w:ascii="標楷體" w:eastAsia="標楷體" w:hAnsi="標楷體" w:hint="eastAsia"/>
          <w:sz w:val="40"/>
        </w:rPr>
        <w:t>修正</w:t>
      </w:r>
      <w:r w:rsidRPr="00A317EC">
        <w:rPr>
          <w:rFonts w:ascii="標楷體" w:eastAsia="標楷體" w:hAnsi="標楷體" w:hint="eastAsia"/>
          <w:sz w:val="40"/>
        </w:rPr>
        <w:t>行政院與所屬中央及地方各機關公務人員休假改進措施第五點</w:t>
      </w:r>
    </w:p>
    <w:p w:rsidR="00EF4DCC" w:rsidRPr="00462999" w:rsidRDefault="00EF4DCC" w:rsidP="00562DB8">
      <w:pPr>
        <w:pStyle w:val="a3"/>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7</w:t>
      </w:r>
      <w:r w:rsidRPr="00462999">
        <w:rPr>
          <w:rFonts w:ascii="標楷體" w:eastAsia="標楷體" w:hAnsi="標楷體" w:hint="eastAsia"/>
          <w:sz w:val="20"/>
        </w:rPr>
        <w:t>年</w:t>
      </w:r>
      <w:r>
        <w:rPr>
          <w:rFonts w:ascii="標楷體" w:eastAsia="標楷體" w:hAnsi="標楷體"/>
          <w:sz w:val="20"/>
        </w:rPr>
        <w:t>11</w:t>
      </w:r>
      <w:r w:rsidRPr="00462999">
        <w:rPr>
          <w:rFonts w:ascii="標楷體" w:eastAsia="標楷體" w:hAnsi="標楷體" w:hint="eastAsia"/>
          <w:sz w:val="20"/>
        </w:rPr>
        <w:t>月</w:t>
      </w:r>
      <w:r>
        <w:rPr>
          <w:rFonts w:ascii="標楷體" w:eastAsia="標楷體" w:hAnsi="標楷體"/>
          <w:sz w:val="20"/>
        </w:rPr>
        <w:t>16</w:t>
      </w:r>
      <w:r w:rsidRPr="00462999">
        <w:rPr>
          <w:rFonts w:ascii="標楷體" w:eastAsia="標楷體" w:hAnsi="標楷體" w:hint="eastAsia"/>
          <w:sz w:val="20"/>
        </w:rPr>
        <w:t>日</w:t>
      </w:r>
      <w:r w:rsidRPr="00F430E1">
        <w:rPr>
          <w:rFonts w:ascii="標楷體" w:eastAsia="標楷體" w:hAnsi="標楷體" w:hint="eastAsia"/>
          <w:sz w:val="20"/>
        </w:rPr>
        <w:t>院授人培字第</w:t>
      </w:r>
      <w:r w:rsidRPr="00F430E1">
        <w:rPr>
          <w:rFonts w:ascii="標楷體" w:eastAsia="標楷體" w:hAnsi="標楷體"/>
          <w:sz w:val="20"/>
        </w:rPr>
        <w:t>10700564561</w:t>
      </w:r>
      <w:r w:rsidRPr="00F430E1">
        <w:rPr>
          <w:rFonts w:ascii="標楷體" w:eastAsia="標楷體" w:hAnsi="標楷體" w:hint="eastAsia"/>
          <w:sz w:val="20"/>
        </w:rPr>
        <w:t>號</w:t>
      </w:r>
      <w:r w:rsidRPr="00462999">
        <w:rPr>
          <w:rFonts w:ascii="標楷體" w:eastAsia="標楷體" w:hAnsi="標楷體" w:hint="eastAsia"/>
          <w:sz w:val="20"/>
        </w:rPr>
        <w:t>函修正</w:t>
      </w:r>
    </w:p>
    <w:p w:rsidR="00EF4DCC" w:rsidRPr="00586385" w:rsidRDefault="00EF4DCC" w:rsidP="00562DB8">
      <w:pPr>
        <w:snapToGrid w:val="0"/>
        <w:spacing w:line="460" w:lineRule="exact"/>
        <w:ind w:left="560" w:hangingChars="200" w:hanging="560"/>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EF4DCC" w:rsidRPr="00586385" w:rsidRDefault="00EF4DCC" w:rsidP="00562DB8">
      <w:pPr>
        <w:numPr>
          <w:ilvl w:val="0"/>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EF4DCC" w:rsidRDefault="00EF4DCC" w:rsidP="00124693">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cs="新細明體" w:hint="eastAsia"/>
          <w:kern w:val="0"/>
          <w:sz w:val="28"/>
          <w:szCs w:val="28"/>
        </w:rPr>
        <w:t>公務人員應請上午或下午半日以上之休假，始得依本款規定予以補助，且得補助當日全日符合規定之刷卡消費。</w:t>
      </w:r>
    </w:p>
    <w:p w:rsidR="00EF4DCC" w:rsidRPr="00586385" w:rsidRDefault="00EF4DCC" w:rsidP="00124693">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EF4DCC" w:rsidRPr="00586385" w:rsidRDefault="00EF4DCC"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EF4DCC" w:rsidRDefault="00EF4DCC"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休假期間及其相連假日之連續期間</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假日前後一日休假半日視同</w:t>
      </w:r>
      <w:r w:rsidRPr="00124693">
        <w:rPr>
          <w:rFonts w:ascii="標楷體" w:eastAsia="標楷體" w:hAnsi="標楷體" w:hint="eastAsia"/>
          <w:color w:val="000000"/>
          <w:sz w:val="28"/>
          <w:szCs w:val="28"/>
        </w:rPr>
        <w:lastRenderedPageBreak/>
        <w:t>連續</w:t>
      </w:r>
      <w:r w:rsidRPr="00124693">
        <w:rPr>
          <w:rFonts w:ascii="標楷體" w:eastAsia="標楷體" w:hAnsi="標楷體"/>
          <w:color w:val="000000"/>
          <w:sz w:val="28"/>
          <w:szCs w:val="28"/>
        </w:rPr>
        <w:t>)</w:t>
      </w:r>
      <w:r w:rsidRPr="00124693">
        <w:rPr>
          <w:rFonts w:ascii="標楷體" w:eastAsia="標楷體" w:hAnsi="標楷體" w:hint="eastAsia"/>
          <w:sz w:val="28"/>
          <w:szCs w:val="28"/>
        </w:rPr>
        <w:t>，</w:t>
      </w:r>
      <w:r w:rsidRPr="001531AF">
        <w:rPr>
          <w:rFonts w:ascii="標楷體" w:eastAsia="標楷體" w:hAnsi="標楷體" w:cs="新細明體" w:hint="eastAsia"/>
          <w:kern w:val="0"/>
          <w:sz w:val="28"/>
          <w:szCs w:val="28"/>
        </w:rPr>
        <w:t>於旅行業、旅宿業、觀光遊樂業</w:t>
      </w:r>
      <w:r>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交通運輸業刷卡消費者，其與該休假期間相連之假日於各行業別國民旅遊卡特約商店刷卡之消費，得按其行業別分別核實併入觀光旅遊額度或自行運用額度之補助範圍。</w:t>
      </w:r>
    </w:p>
    <w:p w:rsidR="00EF4DCC"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符合第三目請領休假補助者，其休假期間前後一日</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含休假半日當日之前後一日</w:t>
      </w:r>
      <w:r w:rsidRPr="00124693">
        <w:rPr>
          <w:rFonts w:ascii="標楷體" w:eastAsia="標楷體" w:hAnsi="標楷體"/>
          <w:color w:val="000000"/>
          <w:sz w:val="28"/>
          <w:szCs w:val="28"/>
        </w:rPr>
        <w:t>)</w:t>
      </w:r>
      <w:r w:rsidRPr="001531AF">
        <w:rPr>
          <w:rFonts w:ascii="標楷體" w:eastAsia="標楷體" w:hAnsi="標楷體" w:cs="新細明體" w:hint="eastAsia"/>
          <w:kern w:val="0"/>
          <w:sz w:val="28"/>
          <w:szCs w:val="28"/>
        </w:rPr>
        <w:t>於交通運輸業或加油站國民旅遊卡特約商店刷卡消費之交通費用，得按其行業別分別核實併入觀光旅遊額度或自行運用額度之補助範圍。</w:t>
      </w:r>
    </w:p>
    <w:p w:rsidR="00EF4DCC" w:rsidRPr="00960EE9" w:rsidRDefault="00EF4DCC" w:rsidP="00562DB8">
      <w:pPr>
        <w:numPr>
          <w:ilvl w:val="0"/>
          <w:numId w:val="1"/>
        </w:numPr>
        <w:snapToGrid w:val="0"/>
        <w:spacing w:line="460" w:lineRule="exact"/>
        <w:ind w:left="975" w:hanging="833"/>
        <w:jc w:val="both"/>
        <w:rPr>
          <w:rFonts w:ascii="標楷體" w:eastAsia="標楷體" w:hAnsi="標楷體" w:cs="新細明體"/>
          <w:kern w:val="0"/>
          <w:sz w:val="28"/>
          <w:szCs w:val="28"/>
        </w:rPr>
      </w:pPr>
      <w:r w:rsidRPr="00960EE9">
        <w:rPr>
          <w:rFonts w:ascii="標楷體" w:eastAsia="標楷體" w:hAnsi="標楷體" w:cs="新細明體" w:hint="eastAsia"/>
          <w:kern w:val="0"/>
          <w:sz w:val="28"/>
          <w:szCs w:val="28"/>
        </w:rPr>
        <w:t>應休畢日數以外之休假部分：</w:t>
      </w:r>
      <w:r w:rsidRPr="00272C52">
        <w:rPr>
          <w:rFonts w:ascii="標楷體" w:eastAsia="標楷體" w:hAnsi="標楷體" w:hint="eastAsia"/>
          <w:sz w:val="28"/>
          <w:szCs w:val="28"/>
        </w:rPr>
        <w:t>按日支給休假補助費新臺幣六百元；未達一日者，按休假時數比例支給，於年終一併結算。</w:t>
      </w:r>
    </w:p>
    <w:p w:rsidR="00EF4DCC" w:rsidRPr="003E0F74" w:rsidRDefault="00EF4DCC" w:rsidP="00562DB8">
      <w:pPr>
        <w:rPr>
          <w:rFonts w:ascii="標楷體" w:eastAsia="標楷體" w:hAnsi="標楷體" w:cs="新細明體"/>
          <w:b/>
          <w:kern w:val="0"/>
        </w:rPr>
      </w:pPr>
    </w:p>
    <w:p w:rsidR="00EF4DCC" w:rsidRDefault="00EF4DCC">
      <w:pPr>
        <w:widowControl/>
      </w:pPr>
      <w:r>
        <w:br w:type="page"/>
      </w:r>
    </w:p>
    <w:p w:rsidR="00EF4DCC" w:rsidRDefault="00EF4DCC" w:rsidP="0043783D">
      <w:pPr>
        <w:rPr>
          <w:rFonts w:ascii="標楷體" w:eastAsia="標楷體" w:hAnsi="標楷體" w:cs="新細明體"/>
          <w:kern w:val="0"/>
        </w:rPr>
      </w:pPr>
      <w:r>
        <w:rPr>
          <w:rFonts w:ascii="標楷體" w:eastAsia="標楷體" w:hAnsi="標楷體" w:cs="新細明體" w:hint="eastAsia"/>
          <w:kern w:val="0"/>
        </w:rPr>
        <w:t>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EF4DCC" w:rsidTr="00362EE2">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EF4DCC" w:rsidRDefault="00EF4DCC" w:rsidP="00362EE2">
            <w:pPr>
              <w:widowControl/>
              <w:spacing w:before="100" w:after="100" w:line="300" w:lineRule="atLeast"/>
              <w:jc w:val="center"/>
            </w:pPr>
            <w:r>
              <w:rPr>
                <w:rFonts w:ascii="標楷體" w:eastAsia="標楷體" w:hAnsi="標楷體" w:cs="新細明體" w:hint="eastAsia"/>
                <w:kern w:val="0"/>
              </w:rPr>
              <w:t>業</w:t>
            </w:r>
            <w:r>
              <w:rPr>
                <w:rFonts w:ascii="標楷體" w:eastAsia="標楷體" w:hAnsi="標楷體" w:cs="新細明體"/>
                <w:kern w:val="0"/>
              </w:rPr>
              <w:t xml:space="preserve">  </w:t>
            </w:r>
            <w:r>
              <w:rPr>
                <w:rFonts w:ascii="標楷體" w:eastAsia="標楷體" w:hAnsi="標楷體" w:cs="新細明體" w:hint="eastAsia"/>
                <w:kern w:val="0"/>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center"/>
            </w:pPr>
            <w:r>
              <w:rPr>
                <w:rFonts w:ascii="標楷體" w:eastAsia="標楷體" w:hAnsi="標楷體" w:cs="新細明體" w:hint="eastAsia"/>
                <w:kern w:val="0"/>
              </w:rPr>
              <w:t>細項分類</w:t>
            </w:r>
          </w:p>
        </w:tc>
      </w:tr>
      <w:tr w:rsidR="00EF4DCC" w:rsidTr="00362EE2">
        <w:trPr>
          <w:cantSplit/>
          <w:trHeight w:val="763"/>
          <w:jc w:val="center"/>
        </w:trPr>
        <w:tc>
          <w:tcPr>
            <w:tcW w:w="709" w:type="dxa"/>
            <w:vMerge w:val="restart"/>
            <w:tcBorders>
              <w:left w:val="single" w:sz="12" w:space="0" w:color="000000"/>
              <w:right w:val="single" w:sz="8" w:space="0" w:color="000000"/>
            </w:tcBorders>
            <w:vAlign w:val="center"/>
          </w:tcPr>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both"/>
            </w:pPr>
            <w:r>
              <w:rPr>
                <w:rFonts w:ascii="標楷體" w:eastAsia="標楷體" w:hAnsi="標楷體" w:cs="新細明體" w:hint="eastAsia"/>
                <w:kern w:val="0"/>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both"/>
            </w:pPr>
            <w:r>
              <w:rPr>
                <w:rFonts w:ascii="標楷體" w:eastAsia="標楷體" w:hAnsi="標楷體" w:cs="新細明體" w:hint="eastAsia"/>
                <w:kern w:val="0"/>
              </w:rPr>
              <w:t>旅行社</w:t>
            </w:r>
          </w:p>
        </w:tc>
      </w:tr>
      <w:tr w:rsidR="00EF4DCC" w:rsidTr="00362EE2">
        <w:trPr>
          <w:cantSplit/>
          <w:jc w:val="center"/>
        </w:trPr>
        <w:tc>
          <w:tcPr>
            <w:tcW w:w="709" w:type="dxa"/>
            <w:vMerge/>
            <w:tcBorders>
              <w:left w:val="single" w:sz="12"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旅宿業、民宿業、郵購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旅館、一般旅館業、觀光旅館業、其他住宿服務業</w:t>
            </w:r>
          </w:p>
        </w:tc>
      </w:tr>
      <w:tr w:rsidR="00EF4DCC" w:rsidTr="00362EE2">
        <w:trPr>
          <w:cantSplit/>
          <w:jc w:val="center"/>
        </w:trPr>
        <w:tc>
          <w:tcPr>
            <w:tcW w:w="709" w:type="dxa"/>
            <w:vMerge/>
            <w:tcBorders>
              <w:left w:val="single" w:sz="12"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觀光遊樂業、遊樂園業、</w:t>
            </w:r>
            <w:r>
              <w:rPr>
                <w:rFonts w:ascii="標楷體" w:eastAsia="標楷體" w:hAnsi="標楷體" w:cs="新細明體" w:hint="eastAsia"/>
                <w:color w:val="000000"/>
                <w:kern w:val="0"/>
              </w:rPr>
              <w:t>森林遊樂業、休閒農場</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color w:val="000000"/>
                <w:kern w:val="0"/>
              </w:rPr>
              <w:t>)</w:t>
            </w:r>
            <w:r>
              <w:rPr>
                <w:rFonts w:ascii="標楷體" w:eastAsia="標楷體" w:hAnsi="標楷體" w:cs="新細明體" w:hint="eastAsia"/>
                <w:color w:val="000000"/>
                <w:kern w:val="0"/>
              </w:rPr>
              <w:t>、觀光果</w:t>
            </w:r>
            <w:r>
              <w:rPr>
                <w:rFonts w:ascii="標楷體" w:eastAsia="標楷體" w:hAnsi="標楷體" w:cs="新細明體"/>
                <w:color w:val="000000"/>
                <w:kern w:val="0"/>
              </w:rPr>
              <w:t>(</w:t>
            </w:r>
            <w:r>
              <w:rPr>
                <w:rFonts w:ascii="標楷體" w:eastAsia="標楷體" w:hAnsi="標楷體" w:cs="新細明體" w:hint="eastAsia"/>
                <w:color w:val="000000"/>
                <w:kern w:val="0"/>
              </w:rPr>
              <w:t>茶</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hint="eastAsia"/>
                <w:kern w:val="0"/>
              </w:rPr>
              <w:t>生態教育農園、其他觀光遊樂業</w:t>
            </w:r>
          </w:p>
        </w:tc>
      </w:tr>
      <w:tr w:rsidR="00EF4DCC" w:rsidTr="00362EE2">
        <w:trPr>
          <w:cantSplit/>
          <w:jc w:val="center"/>
        </w:trPr>
        <w:tc>
          <w:tcPr>
            <w:tcW w:w="709" w:type="dxa"/>
            <w:vMerge/>
            <w:tcBorders>
              <w:left w:val="single" w:sz="12" w:space="0" w:color="000000"/>
              <w:bottom w:val="single" w:sz="8"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交通運輸業、停車場業</w:t>
            </w:r>
            <w:r>
              <w:rPr>
                <w:rFonts w:ascii="標楷體" w:eastAsia="標楷體" w:hAnsi="標楷體" w:cs="新細明體" w:hint="eastAsia"/>
                <w:color w:val="C0C0C0"/>
                <w:kern w:val="0"/>
              </w:rPr>
              <w:t>、</w:t>
            </w:r>
            <w:r>
              <w:rPr>
                <w:rFonts w:ascii="標楷體" w:eastAsia="標楷體" w:hAnsi="標楷體" w:cs="新細明體" w:hint="eastAsia"/>
                <w:color w:val="000000"/>
                <w:kern w:val="0"/>
              </w:rPr>
              <w:t>交通工具租賃業</w:t>
            </w:r>
            <w:r>
              <w:rPr>
                <w:rFonts w:ascii="標楷體" w:eastAsia="標楷體" w:hAnsi="標楷體" w:cs="新細明體" w:hint="eastAsia"/>
                <w:kern w:val="0"/>
              </w:rPr>
              <w:t>、民用航空運輸業、海洋水運業、一般汽車客運業、計程車、鐵路運輸業、郵購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交通運輸業、其他運輸輔助業</w:t>
            </w:r>
          </w:p>
        </w:tc>
      </w:tr>
      <w:tr w:rsidR="00EF4DCC" w:rsidTr="00362EE2">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EF4DCC" w:rsidRPr="0039331D"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hint="eastAsia"/>
                <w:kern w:val="0"/>
              </w:rPr>
              <w:t>業別</w:t>
            </w:r>
          </w:p>
        </w:tc>
        <w:tc>
          <w:tcPr>
            <w:tcW w:w="6726" w:type="dxa"/>
            <w:tcBorders>
              <w:bottom w:val="single" w:sz="12" w:space="0" w:color="000000"/>
              <w:right w:val="single" w:sz="12" w:space="0" w:color="000000"/>
            </w:tcBorders>
            <w:tcMar>
              <w:top w:w="57" w:type="dxa"/>
              <w:left w:w="108" w:type="dxa"/>
              <w:bottom w:w="57" w:type="dxa"/>
              <w:right w:w="108" w:type="dxa"/>
            </w:tcMar>
          </w:tcPr>
          <w:p w:rsidR="00EF4DCC" w:rsidRPr="0043783D" w:rsidRDefault="00EF4DCC"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43783D">
              <w:rPr>
                <w:rFonts w:ascii="標楷體" w:eastAsia="標楷體" w:hAnsi="標楷體" w:cs="新細明體" w:hint="eastAsia"/>
                <w:kern w:val="0"/>
              </w:rPr>
              <w:t>指除觀光旅遊業別、珠寶銀樓以外之各行業別。</w:t>
            </w:r>
          </w:p>
          <w:p w:rsidR="00EF4DCC" w:rsidRPr="00CC653D" w:rsidRDefault="00EF4DCC"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CC653D">
              <w:rPr>
                <w:rFonts w:ascii="標楷體" w:eastAsia="標楷體" w:hAnsi="標楷體" w:cs="新細明體" w:hint="eastAsia"/>
                <w:kern w:val="0"/>
              </w:rPr>
              <w:t>各行業別不包含「公務員廉政倫理規範」第八點所稱不妥當場所。</w:t>
            </w:r>
          </w:p>
        </w:tc>
      </w:tr>
    </w:tbl>
    <w:p w:rsidR="00EF4DCC" w:rsidRDefault="00EF4DCC" w:rsidP="0043783D">
      <w:pPr>
        <w:rPr>
          <w:rFonts w:ascii="標楷體" w:eastAsia="標楷體" w:hAnsi="標楷體" w:cs="新細明體"/>
          <w:kern w:val="0"/>
        </w:rPr>
      </w:pPr>
    </w:p>
    <w:p w:rsidR="00EF4DCC" w:rsidRDefault="00EF4DCC" w:rsidP="0043783D">
      <w:pPr>
        <w:rPr>
          <w:rFonts w:ascii="標楷體" w:eastAsia="標楷體" w:hAnsi="標楷體" w:cs="新細明體"/>
          <w:kern w:val="0"/>
        </w:rPr>
      </w:pPr>
      <w:r>
        <w:rPr>
          <w:rFonts w:ascii="標楷體" w:eastAsia="標楷體" w:hAnsi="標楷體" w:cs="新細明體" w:hint="eastAsia"/>
          <w:kern w:val="0"/>
        </w:rPr>
        <w:t>附註：</w:t>
      </w:r>
    </w:p>
    <w:p w:rsidR="00EF4DCC" w:rsidRPr="00D02251" w:rsidRDefault="00EF4DCC"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kern w:val="0"/>
        </w:rPr>
        <w:t>各行業別之刷卡消費均核實補助。</w:t>
      </w:r>
    </w:p>
    <w:p w:rsidR="00EF4DCC" w:rsidRPr="00D02251" w:rsidRDefault="00EF4DCC"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EF4DCC" w:rsidRDefault="00EF4DCC" w:rsidP="0043783D">
      <w:pPr>
        <w:rPr>
          <w:rFonts w:ascii="標楷體" w:eastAsia="標楷體" w:hAnsi="標楷體" w:cs="新細明體"/>
          <w:kern w:val="0"/>
        </w:rPr>
      </w:pPr>
    </w:p>
    <w:p w:rsidR="00EF4DCC" w:rsidRPr="003E0F74" w:rsidRDefault="00EF4DCC" w:rsidP="0043783D">
      <w:pPr>
        <w:rPr>
          <w:rFonts w:ascii="標楷體" w:eastAsia="標楷體" w:hAnsi="標楷體" w:cs="新細明體"/>
          <w:b/>
          <w:kern w:val="0"/>
        </w:rPr>
      </w:pPr>
    </w:p>
    <w:p w:rsidR="00EF4DCC" w:rsidRPr="0043783D" w:rsidRDefault="00EF4DCC"/>
    <w:sectPr w:rsidR="00EF4DCC" w:rsidRPr="0043783D"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175" w:rsidRDefault="00772175" w:rsidP="00124693">
      <w:r>
        <w:separator/>
      </w:r>
    </w:p>
  </w:endnote>
  <w:endnote w:type="continuationSeparator" w:id="1">
    <w:p w:rsidR="00772175" w:rsidRDefault="00772175" w:rsidP="00124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175" w:rsidRDefault="00772175" w:rsidP="00124693">
      <w:r>
        <w:separator/>
      </w:r>
    </w:p>
  </w:footnote>
  <w:footnote w:type="continuationSeparator" w:id="1">
    <w:p w:rsidR="00772175" w:rsidRDefault="00772175" w:rsidP="00124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4054087B"/>
    <w:multiLevelType w:val="hybridMultilevel"/>
    <w:tmpl w:val="1CC4ED3A"/>
    <w:lvl w:ilvl="0" w:tplc="66B486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F2B0BAC"/>
    <w:multiLevelType w:val="hybridMultilevel"/>
    <w:tmpl w:val="C4E86FF2"/>
    <w:lvl w:ilvl="0" w:tplc="528C18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DB8"/>
    <w:rsid w:val="000919DA"/>
    <w:rsid w:val="00124693"/>
    <w:rsid w:val="00150967"/>
    <w:rsid w:val="001531AF"/>
    <w:rsid w:val="00245154"/>
    <w:rsid w:val="00272C52"/>
    <w:rsid w:val="00362EE2"/>
    <w:rsid w:val="0039331D"/>
    <w:rsid w:val="003E0F74"/>
    <w:rsid w:val="00412669"/>
    <w:rsid w:val="0043783D"/>
    <w:rsid w:val="00462999"/>
    <w:rsid w:val="00512AA4"/>
    <w:rsid w:val="00562DB8"/>
    <w:rsid w:val="0056470D"/>
    <w:rsid w:val="00586385"/>
    <w:rsid w:val="005E3B40"/>
    <w:rsid w:val="007044F5"/>
    <w:rsid w:val="00771F33"/>
    <w:rsid w:val="00772175"/>
    <w:rsid w:val="007853AE"/>
    <w:rsid w:val="009034BF"/>
    <w:rsid w:val="00960EE9"/>
    <w:rsid w:val="009A7E67"/>
    <w:rsid w:val="00A04F85"/>
    <w:rsid w:val="00A11D70"/>
    <w:rsid w:val="00A317EC"/>
    <w:rsid w:val="00AC16B5"/>
    <w:rsid w:val="00B21C73"/>
    <w:rsid w:val="00BD66A4"/>
    <w:rsid w:val="00C62C7D"/>
    <w:rsid w:val="00CA17C7"/>
    <w:rsid w:val="00CC653D"/>
    <w:rsid w:val="00D02251"/>
    <w:rsid w:val="00D1120A"/>
    <w:rsid w:val="00D431AC"/>
    <w:rsid w:val="00E53DE3"/>
    <w:rsid w:val="00EF4DCC"/>
    <w:rsid w:val="00F430E1"/>
    <w:rsid w:val="00F51532"/>
    <w:rsid w:val="00F66C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B8"/>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uiPriority w:val="99"/>
    <w:rsid w:val="00562DB8"/>
    <w:pPr>
      <w:spacing w:before="120" w:after="120"/>
      <w:jc w:val="center"/>
    </w:pPr>
    <w:rPr>
      <w:rFonts w:ascii="全真粗黑體" w:eastAsia="全真粗黑體" w:hAnsi="Times New Roman"/>
      <w:kern w:val="0"/>
      <w:sz w:val="32"/>
      <w:szCs w:val="20"/>
    </w:rPr>
  </w:style>
  <w:style w:type="paragraph" w:styleId="a4">
    <w:name w:val="List Paragraph"/>
    <w:basedOn w:val="a"/>
    <w:uiPriority w:val="99"/>
    <w:qFormat/>
    <w:rsid w:val="00562DB8"/>
    <w:pPr>
      <w:ind w:leftChars="200" w:left="480"/>
    </w:pPr>
  </w:style>
  <w:style w:type="paragraph" w:styleId="a5">
    <w:name w:val="Balloon Text"/>
    <w:basedOn w:val="a"/>
    <w:link w:val="a6"/>
    <w:uiPriority w:val="99"/>
    <w:semiHidden/>
    <w:rsid w:val="00A11D70"/>
    <w:rPr>
      <w:rFonts w:ascii="Cambria" w:hAnsi="Cambria"/>
      <w:sz w:val="18"/>
      <w:szCs w:val="18"/>
    </w:rPr>
  </w:style>
  <w:style w:type="character" w:customStyle="1" w:styleId="a6">
    <w:name w:val="註解方塊文字 字元"/>
    <w:basedOn w:val="a0"/>
    <w:link w:val="a5"/>
    <w:uiPriority w:val="99"/>
    <w:semiHidden/>
    <w:locked/>
    <w:rsid w:val="00A11D70"/>
    <w:rPr>
      <w:rFonts w:ascii="Cambria" w:eastAsia="新細明體" w:hAnsi="Cambria" w:cs="Times New Roman"/>
      <w:sz w:val="18"/>
      <w:szCs w:val="18"/>
    </w:rPr>
  </w:style>
  <w:style w:type="paragraph" w:styleId="a7">
    <w:name w:val="header"/>
    <w:basedOn w:val="a"/>
    <w:link w:val="a8"/>
    <w:uiPriority w:val="99"/>
    <w:rsid w:val="00124693"/>
    <w:pPr>
      <w:tabs>
        <w:tab w:val="center" w:pos="4153"/>
        <w:tab w:val="right" w:pos="8306"/>
      </w:tabs>
      <w:snapToGrid w:val="0"/>
    </w:pPr>
    <w:rPr>
      <w:sz w:val="20"/>
      <w:szCs w:val="20"/>
    </w:rPr>
  </w:style>
  <w:style w:type="character" w:customStyle="1" w:styleId="a8">
    <w:name w:val="頁首 字元"/>
    <w:basedOn w:val="a0"/>
    <w:link w:val="a7"/>
    <w:uiPriority w:val="99"/>
    <w:locked/>
    <w:rsid w:val="00124693"/>
    <w:rPr>
      <w:rFonts w:ascii="Times New Roman" w:eastAsia="新細明體" w:hAnsi="Times New Roman" w:cs="Times New Roman"/>
      <w:sz w:val="20"/>
      <w:szCs w:val="20"/>
    </w:rPr>
  </w:style>
  <w:style w:type="paragraph" w:styleId="a9">
    <w:name w:val="footer"/>
    <w:basedOn w:val="a"/>
    <w:link w:val="aa"/>
    <w:uiPriority w:val="99"/>
    <w:rsid w:val="00124693"/>
    <w:pPr>
      <w:tabs>
        <w:tab w:val="center" w:pos="4153"/>
        <w:tab w:val="right" w:pos="8306"/>
      </w:tabs>
      <w:snapToGrid w:val="0"/>
    </w:pPr>
    <w:rPr>
      <w:sz w:val="20"/>
      <w:szCs w:val="20"/>
    </w:rPr>
  </w:style>
  <w:style w:type="character" w:customStyle="1" w:styleId="aa">
    <w:name w:val="頁尾 字元"/>
    <w:basedOn w:val="a0"/>
    <w:link w:val="a9"/>
    <w:uiPriority w:val="99"/>
    <w:locked/>
    <w:rsid w:val="00124693"/>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修正行政院與所屬中央及地方各機關公務人員休假改進措施第五點</dc:title>
  <dc:creator>李佳蓉</dc:creator>
  <cp:lastModifiedBy>user</cp:lastModifiedBy>
  <cp:revision>2</cp:revision>
  <dcterms:created xsi:type="dcterms:W3CDTF">2018-11-21T05:12:00Z</dcterms:created>
  <dcterms:modified xsi:type="dcterms:W3CDTF">2018-11-21T05:12:00Z</dcterms:modified>
</cp:coreProperties>
</file>