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DF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2"/>
        </w:rPr>
        <w:t>5</w:t>
      </w:r>
      <w:r>
        <w:rPr>
          <w:rFonts w:ascii="標楷體" w:eastAsia="標楷體" w:hAnsi="標楷體" w:hint="eastAsia"/>
          <w:b/>
          <w:sz w:val="36"/>
          <w:szCs w:val="32"/>
        </w:rPr>
        <w:t>分鐘看懂</w:t>
      </w:r>
      <w:r w:rsidRPr="00985F5B">
        <w:rPr>
          <w:rFonts w:ascii="標楷體" w:eastAsia="標楷體" w:hAnsi="標楷體" w:hint="eastAsia"/>
          <w:b/>
          <w:sz w:val="36"/>
          <w:szCs w:val="32"/>
        </w:rPr>
        <w:t>公務人員保障法部分條文修正</w:t>
      </w:r>
      <w:r>
        <w:rPr>
          <w:rFonts w:ascii="標楷體" w:eastAsia="標楷體" w:hAnsi="標楷體" w:hint="eastAsia"/>
          <w:b/>
          <w:sz w:val="36"/>
          <w:szCs w:val="32"/>
        </w:rPr>
        <w:t>重點</w:t>
      </w:r>
    </w:p>
    <w:p w:rsidR="004707DF" w:rsidRPr="005C240C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 </w:t>
      </w:r>
    </w:p>
    <w:p w:rsidR="004707DF" w:rsidRDefault="004707DF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日華總一義字第</w:t>
      </w:r>
      <w:r>
        <w:rPr>
          <w:rFonts w:ascii="標楷體" w:eastAsia="標楷體" w:hAnsi="標楷體"/>
          <w:sz w:val="32"/>
          <w:szCs w:val="32"/>
        </w:rPr>
        <w:t xml:space="preserve">10600080021 </w:t>
      </w:r>
      <w:r>
        <w:rPr>
          <w:rFonts w:ascii="標楷體" w:eastAsia="標楷體" w:hAnsi="標楷體" w:hint="eastAsia"/>
          <w:sz w:val="32"/>
          <w:szCs w:val="32"/>
        </w:rPr>
        <w:t>號令公布，計修正條文</w:t>
      </w: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 w:hint="eastAsia"/>
          <w:sz w:val="32"/>
          <w:szCs w:val="32"/>
        </w:rPr>
        <w:t>條，新增條文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條。其修正重點摘述如下：</w:t>
      </w:r>
    </w:p>
    <w:p w:rsidR="004707DF" w:rsidRPr="00815F25" w:rsidRDefault="004707DF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公務人員於停職、休職、留職停薪期間，仍具</w:t>
      </w:r>
      <w:r>
        <w:rPr>
          <w:rFonts w:ascii="標楷體" w:eastAsia="標楷體" w:hAnsi="標楷體" w:hint="eastAsia"/>
          <w:sz w:val="32"/>
          <w:szCs w:val="32"/>
        </w:rPr>
        <w:t>有</w:t>
      </w:r>
      <w:r w:rsidRPr="00815F25">
        <w:rPr>
          <w:rFonts w:ascii="標楷體" w:eastAsia="標楷體" w:hAnsi="標楷體" w:hint="eastAsia"/>
          <w:sz w:val="32"/>
          <w:szCs w:val="32"/>
        </w:rPr>
        <w:t>公務人員身分；但不得執行職務。</w:t>
      </w:r>
      <w:r>
        <w:rPr>
          <w:rFonts w:ascii="標楷體" w:eastAsia="標楷體" w:hAnsi="標楷體" w:hint="eastAsia"/>
          <w:sz w:val="32"/>
          <w:szCs w:val="32"/>
        </w:rPr>
        <w:t>又上開人員於</w:t>
      </w:r>
      <w:r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>
        <w:rPr>
          <w:rFonts w:ascii="標楷體" w:eastAsia="標楷體" w:hAnsi="標楷體" w:hint="eastAsia"/>
          <w:sz w:val="32"/>
          <w:szCs w:val="32"/>
        </w:rPr>
        <w:t>原因消滅或期間屆滿，得依保障法申請復職。</w:t>
      </w:r>
      <w:r w:rsidRPr="00815F25">
        <w:rPr>
          <w:rFonts w:ascii="標楷體" w:eastAsia="標楷體" w:hAnsi="標楷體" w:hint="eastAsia"/>
          <w:sz w:val="32"/>
          <w:szCs w:val="32"/>
        </w:rPr>
        <w:t>（第</w:t>
      </w:r>
      <w:r w:rsidRPr="00815F25">
        <w:rPr>
          <w:rFonts w:ascii="標楷體" w:eastAsia="標楷體" w:hAnsi="標楷體"/>
          <w:sz w:val="32"/>
          <w:szCs w:val="32"/>
        </w:rPr>
        <w:t>9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2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公務人員辭職，</w:t>
      </w:r>
      <w:r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 w:hint="eastAsia"/>
          <w:sz w:val="32"/>
          <w:szCs w:val="32"/>
        </w:rPr>
        <w:t>以書面</w:t>
      </w:r>
      <w:r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，除</w:t>
      </w:r>
      <w:r>
        <w:rPr>
          <w:rFonts w:ascii="標楷體" w:eastAsia="標楷體" w:hAnsi="標楷體" w:hint="eastAsia"/>
          <w:sz w:val="32"/>
          <w:szCs w:val="32"/>
        </w:rPr>
        <w:t>非</w:t>
      </w:r>
      <w:r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>
        <w:rPr>
          <w:rFonts w:ascii="標楷體" w:eastAsia="標楷體" w:hAnsi="標楷體" w:hint="eastAsia"/>
          <w:sz w:val="32"/>
          <w:szCs w:val="32"/>
        </w:rPr>
        <w:t>之情形</w:t>
      </w:r>
      <w:r w:rsidRPr="00815F25">
        <w:rPr>
          <w:rFonts w:ascii="標楷體" w:eastAsia="標楷體" w:hAnsi="標楷體" w:hint="eastAsia"/>
          <w:sz w:val="32"/>
          <w:szCs w:val="32"/>
        </w:rPr>
        <w:t>，服務機關或其上級機關</w:t>
      </w:r>
      <w:r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815F25">
        <w:rPr>
          <w:rFonts w:ascii="標楷體" w:eastAsia="標楷體" w:hAnsi="標楷體" w:hint="eastAsia"/>
          <w:sz w:val="32"/>
          <w:szCs w:val="32"/>
        </w:rPr>
        <w:t>面署名下達之命令</w:t>
      </w:r>
      <w:r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應服從，</w:t>
      </w:r>
      <w:r>
        <w:rPr>
          <w:rFonts w:ascii="標楷體" w:eastAsia="標楷體" w:hAnsi="標楷體" w:hint="eastAsia"/>
          <w:sz w:val="32"/>
          <w:szCs w:val="32"/>
        </w:rPr>
        <w:t>其並可免負相關行政</w:t>
      </w:r>
      <w:r w:rsidRPr="00815F25">
        <w:rPr>
          <w:rFonts w:ascii="標楷體" w:eastAsia="標楷體" w:hAnsi="標楷體" w:hint="eastAsia"/>
          <w:sz w:val="32"/>
          <w:szCs w:val="32"/>
        </w:rPr>
        <w:t>責任。（第</w:t>
      </w:r>
      <w:r w:rsidRPr="00815F25">
        <w:rPr>
          <w:rFonts w:ascii="標楷體" w:eastAsia="標楷體" w:hAnsi="標楷體"/>
          <w:sz w:val="32"/>
          <w:szCs w:val="32"/>
        </w:rPr>
        <w:t>17</w:t>
      </w:r>
      <w:r w:rsidRPr="00815F25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公務人員因執行職務發生意外導致受傷、失能或死亡時，服務機關應發給慰問金。</w:t>
      </w:r>
      <w:r w:rsidRPr="008F1EAD">
        <w:rPr>
          <w:rFonts w:ascii="標楷體" w:eastAsia="標楷體" w:hAnsi="標楷體" w:hint="eastAsia"/>
          <w:sz w:val="32"/>
          <w:szCs w:val="32"/>
        </w:rPr>
        <w:t>（第</w:t>
      </w:r>
      <w:r w:rsidRPr="008F1EAD">
        <w:rPr>
          <w:rFonts w:ascii="標楷體" w:eastAsia="標楷體" w:hAnsi="標楷體"/>
          <w:sz w:val="32"/>
          <w:szCs w:val="32"/>
        </w:rPr>
        <w:t>21</w:t>
      </w:r>
      <w:r w:rsidRPr="008F1EAD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公務人員公法上財產請求權消滅時效期間，分為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年及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年：</w:t>
      </w:r>
      <w:r w:rsidRPr="00766B7F">
        <w:rPr>
          <w:rFonts w:ascii="標楷體" w:eastAsia="標楷體" w:hAnsi="標楷體" w:hint="eastAsia"/>
          <w:sz w:val="32"/>
          <w:szCs w:val="32"/>
        </w:rPr>
        <w:t>（第</w:t>
      </w:r>
      <w:r w:rsidRPr="00766B7F">
        <w:rPr>
          <w:rFonts w:ascii="標楷體" w:eastAsia="標楷體" w:hAnsi="標楷體"/>
          <w:sz w:val="32"/>
          <w:szCs w:val="32"/>
        </w:rPr>
        <w:t>24</w:t>
      </w:r>
      <w:r w:rsidRPr="00766B7F">
        <w:rPr>
          <w:rFonts w:ascii="標楷體" w:eastAsia="標楷體" w:hAnsi="標楷體" w:hint="eastAsia"/>
          <w:sz w:val="32"/>
          <w:szCs w:val="32"/>
        </w:rPr>
        <w:t>條之</w:t>
      </w:r>
      <w:r w:rsidRPr="00766B7F">
        <w:rPr>
          <w:rFonts w:ascii="標楷體" w:eastAsia="標楷體" w:hAnsi="標楷體"/>
          <w:sz w:val="32"/>
          <w:szCs w:val="32"/>
        </w:rPr>
        <w:t>1</w:t>
      </w:r>
      <w:r w:rsidRPr="00766B7F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Pr="00815F25">
        <w:rPr>
          <w:rFonts w:ascii="標楷體" w:eastAsia="標楷體" w:hAnsi="標楷體" w:hint="eastAsia"/>
          <w:sz w:val="32"/>
          <w:szCs w:val="32"/>
        </w:rPr>
        <w:t>執行職務發生意外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Pr="00815F25">
        <w:rPr>
          <w:rFonts w:ascii="標楷體" w:eastAsia="標楷體" w:hAnsi="標楷體" w:hint="eastAsia"/>
          <w:sz w:val="32"/>
          <w:szCs w:val="32"/>
        </w:rPr>
        <w:t>致受傷、失能或死亡發給之慰問金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及依法執行職務涉訟輔助之費用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請求權消滅時效期間為</w:t>
      </w:r>
      <w:r w:rsidRPr="00815F25">
        <w:rPr>
          <w:rFonts w:ascii="標楷體" w:eastAsia="標楷體" w:hAnsi="標楷體"/>
          <w:sz w:val="32"/>
          <w:szCs w:val="32"/>
        </w:rPr>
        <w:t>10</w:t>
      </w:r>
      <w:r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707DF" w:rsidRPr="00766B7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Pr="00766B7F">
        <w:rPr>
          <w:rFonts w:ascii="標楷體" w:eastAsia="標楷體" w:hAnsi="標楷體" w:hint="eastAsia"/>
          <w:sz w:val="32"/>
          <w:szCs w:val="32"/>
        </w:rPr>
        <w:t>為</w:t>
      </w:r>
      <w:r w:rsidRPr="00766B7F">
        <w:rPr>
          <w:rFonts w:ascii="標楷體" w:eastAsia="標楷體" w:hAnsi="標楷體"/>
          <w:sz w:val="32"/>
          <w:szCs w:val="32"/>
        </w:rPr>
        <w:t>2</w:t>
      </w:r>
      <w:r w:rsidRPr="00766B7F">
        <w:rPr>
          <w:rFonts w:ascii="標楷體" w:eastAsia="標楷體" w:hAnsi="標楷體" w:hint="eastAsia"/>
          <w:sz w:val="32"/>
          <w:szCs w:val="32"/>
        </w:rPr>
        <w:t>年。</w:t>
      </w:r>
    </w:p>
    <w:p w:rsidR="004707DF" w:rsidRPr="00B078E4" w:rsidRDefault="004707DF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公務人員經機關駁回</w:t>
      </w:r>
      <w:r>
        <w:rPr>
          <w:rFonts w:ascii="標楷體" w:eastAsia="標楷體" w:hAnsi="標楷體" w:hint="eastAsia"/>
          <w:sz w:val="32"/>
          <w:szCs w:val="32"/>
        </w:rPr>
        <w:t>其</w:t>
      </w:r>
      <w:r w:rsidRPr="00B078E4">
        <w:rPr>
          <w:rFonts w:ascii="標楷體" w:eastAsia="標楷體" w:hAnsi="標楷體" w:hint="eastAsia"/>
          <w:sz w:val="32"/>
          <w:szCs w:val="32"/>
        </w:rPr>
        <w:t>依法申請之案件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Pr="00B078E4">
        <w:rPr>
          <w:rFonts w:ascii="標楷體" w:eastAsia="標楷體" w:hAnsi="標楷體" w:hint="eastAsia"/>
          <w:sz w:val="32"/>
          <w:szCs w:val="32"/>
        </w:rPr>
        <w:t>，得提起</w:t>
      </w:r>
      <w:r>
        <w:rPr>
          <w:rFonts w:ascii="標楷體" w:eastAsia="標楷體" w:hAnsi="標楷體" w:hint="eastAsia"/>
          <w:sz w:val="32"/>
          <w:szCs w:val="32"/>
        </w:rPr>
        <w:t>復審，</w:t>
      </w:r>
      <w:r w:rsidRPr="00B078E4">
        <w:rPr>
          <w:rFonts w:ascii="標楷體" w:eastAsia="標楷體" w:hAnsi="標楷體" w:hint="eastAsia"/>
          <w:sz w:val="32"/>
          <w:szCs w:val="32"/>
        </w:rPr>
        <w:t>請求</w:t>
      </w:r>
      <w:r>
        <w:rPr>
          <w:rFonts w:ascii="標楷體" w:eastAsia="標楷體" w:hAnsi="標楷體" w:hint="eastAsia"/>
          <w:sz w:val="32"/>
          <w:szCs w:val="32"/>
        </w:rPr>
        <w:t>該</w:t>
      </w:r>
      <w:r w:rsidRPr="00B078E4">
        <w:rPr>
          <w:rFonts w:ascii="標楷體" w:eastAsia="標楷體" w:hAnsi="標楷體" w:hint="eastAsia"/>
          <w:sz w:val="32"/>
          <w:szCs w:val="32"/>
        </w:rPr>
        <w:t>機關為特定內容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B078E4">
        <w:rPr>
          <w:rFonts w:ascii="標楷體" w:eastAsia="標楷體" w:hAnsi="標楷體" w:hint="eastAsia"/>
          <w:sz w:val="32"/>
          <w:szCs w:val="32"/>
        </w:rPr>
        <w:t>行政處分。（第</w:t>
      </w:r>
      <w:r w:rsidRPr="00B078E4">
        <w:rPr>
          <w:rFonts w:ascii="標楷體" w:eastAsia="標楷體" w:hAnsi="標楷體"/>
          <w:sz w:val="32"/>
          <w:szCs w:val="32"/>
        </w:rPr>
        <w:t>26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B078E4" w:rsidRDefault="004707D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Pr="00B078E4">
        <w:rPr>
          <w:rFonts w:ascii="標楷體" w:eastAsia="標楷體" w:hAnsi="標楷體" w:hint="eastAsia"/>
          <w:sz w:val="32"/>
          <w:szCs w:val="32"/>
        </w:rPr>
        <w:t>調處。（第</w:t>
      </w:r>
      <w:r w:rsidRPr="00B078E4">
        <w:rPr>
          <w:rFonts w:ascii="標楷體" w:eastAsia="標楷體" w:hAnsi="標楷體"/>
          <w:sz w:val="32"/>
          <w:szCs w:val="32"/>
        </w:rPr>
        <w:t>85</w:t>
      </w:r>
      <w:r w:rsidRPr="00B078E4">
        <w:rPr>
          <w:rFonts w:ascii="標楷體" w:eastAsia="標楷體" w:hAnsi="標楷體" w:hint="eastAsia"/>
          <w:sz w:val="32"/>
          <w:szCs w:val="32"/>
        </w:rPr>
        <w:t>條至第</w:t>
      </w:r>
      <w:r w:rsidRPr="00B078E4">
        <w:rPr>
          <w:rFonts w:ascii="標楷體" w:eastAsia="標楷體" w:hAnsi="標楷體"/>
          <w:sz w:val="32"/>
          <w:szCs w:val="32"/>
        </w:rPr>
        <w:t>88</w:t>
      </w:r>
      <w:r w:rsidRPr="00B078E4">
        <w:rPr>
          <w:rFonts w:ascii="標楷體" w:eastAsia="標楷體" w:hAnsi="標楷體" w:hint="eastAsia"/>
          <w:sz w:val="32"/>
          <w:szCs w:val="32"/>
        </w:rPr>
        <w:t>條、第</w:t>
      </w:r>
      <w:r w:rsidRPr="00B078E4">
        <w:rPr>
          <w:rFonts w:ascii="標楷體" w:eastAsia="標楷體" w:hAnsi="標楷體"/>
          <w:sz w:val="32"/>
          <w:szCs w:val="32"/>
        </w:rPr>
        <w:lastRenderedPageBreak/>
        <w:t>91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766B7F" w:rsidRDefault="004707D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再申訴事件決定確定後，有再審議事由，也可以申請再審議。（第</w:t>
      </w:r>
      <w:r w:rsidRPr="00766B7F">
        <w:rPr>
          <w:rFonts w:ascii="標楷體" w:eastAsia="標楷體" w:hAnsi="標楷體"/>
          <w:sz w:val="32"/>
          <w:szCs w:val="32"/>
        </w:rPr>
        <w:t>94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95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100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101</w:t>
      </w:r>
      <w:r w:rsidRPr="00766B7F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8F1EAD" w:rsidRDefault="004707DF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</w:t>
      </w:r>
      <w:r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>
        <w:rPr>
          <w:rFonts w:ascii="標楷體" w:eastAsia="標楷體" w:hAnsi="標楷體" w:hint="eastAsia"/>
          <w:sz w:val="32"/>
          <w:szCs w:val="32"/>
        </w:rPr>
        <w:t>除了</w:t>
      </w:r>
      <w:r w:rsidRPr="0083349B">
        <w:rPr>
          <w:rFonts w:ascii="標楷體" w:eastAsia="標楷體" w:hAnsi="標楷體" w:hint="eastAsia"/>
          <w:sz w:val="32"/>
          <w:szCs w:val="32"/>
        </w:rPr>
        <w:t>不服</w:t>
      </w:r>
      <w:r>
        <w:rPr>
          <w:rFonts w:ascii="標楷體" w:eastAsia="標楷體" w:hAnsi="標楷體" w:hint="eastAsia"/>
          <w:sz w:val="32"/>
          <w:szCs w:val="32"/>
        </w:rPr>
        <w:t>保訓</w:t>
      </w:r>
      <w:r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>
        <w:rPr>
          <w:rFonts w:ascii="標楷體" w:eastAsia="標楷體" w:hAnsi="標楷體" w:hint="eastAsia"/>
          <w:sz w:val="32"/>
          <w:szCs w:val="32"/>
        </w:rPr>
        <w:t>法規定提起救濟外，均可準用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法之規定，以保障權益</w:t>
      </w:r>
      <w:r w:rsidRPr="0083349B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另對於參加</w:t>
      </w:r>
      <w:r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>
        <w:rPr>
          <w:rFonts w:ascii="標楷體" w:eastAsia="標楷體" w:hAnsi="標楷體" w:hint="eastAsia"/>
          <w:sz w:val="32"/>
          <w:szCs w:val="32"/>
        </w:rPr>
        <w:t>也可準用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法之規定。</w:t>
      </w:r>
      <w:r w:rsidRPr="00950BA1">
        <w:rPr>
          <w:rFonts w:ascii="標楷體" w:eastAsia="標楷體" w:hAnsi="標楷體" w:hint="eastAsia"/>
          <w:sz w:val="32"/>
          <w:szCs w:val="32"/>
        </w:rPr>
        <w:t>（第</w:t>
      </w:r>
      <w:r w:rsidRPr="00950BA1">
        <w:rPr>
          <w:rFonts w:ascii="標楷體" w:eastAsia="標楷體" w:hAnsi="標楷體"/>
          <w:sz w:val="32"/>
          <w:szCs w:val="32"/>
        </w:rPr>
        <w:t>102</w:t>
      </w:r>
      <w:r w:rsidRPr="00950BA1">
        <w:rPr>
          <w:rFonts w:ascii="標楷體" w:eastAsia="標楷體" w:hAnsi="標楷體" w:hint="eastAsia"/>
          <w:sz w:val="32"/>
          <w:szCs w:val="32"/>
        </w:rPr>
        <w:t>條）</w:t>
      </w:r>
    </w:p>
    <w:sectPr w:rsidR="004707DF" w:rsidRPr="008F1EAD" w:rsidSect="00676D6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FED" w:rsidRDefault="00763FED" w:rsidP="0042501D">
      <w:r>
        <w:separator/>
      </w:r>
    </w:p>
  </w:endnote>
  <w:endnote w:type="continuationSeparator" w:id="1">
    <w:p w:rsidR="00763FED" w:rsidRDefault="00763FED" w:rsidP="0042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DF" w:rsidRDefault="00E72CDB">
    <w:pPr>
      <w:pStyle w:val="a9"/>
      <w:jc w:val="center"/>
    </w:pPr>
    <w:fldSimple w:instr="PAGE   \* MERGEFORMAT">
      <w:r w:rsidR="004E31CD" w:rsidRPr="004E31CD">
        <w:rPr>
          <w:noProof/>
          <w:lang w:val="zh-TW"/>
        </w:rPr>
        <w:t>1</w:t>
      </w:r>
    </w:fldSimple>
  </w:p>
  <w:p w:rsidR="004707DF" w:rsidRDefault="004707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FED" w:rsidRDefault="00763FED" w:rsidP="0042501D">
      <w:r>
        <w:separator/>
      </w:r>
    </w:p>
  </w:footnote>
  <w:footnote w:type="continuationSeparator" w:id="1">
    <w:p w:rsidR="00763FED" w:rsidRDefault="00763FED" w:rsidP="00425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5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8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9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1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C3BD2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707DF"/>
    <w:rsid w:val="004B7D52"/>
    <w:rsid w:val="004E203B"/>
    <w:rsid w:val="004E31CD"/>
    <w:rsid w:val="004E6954"/>
    <w:rsid w:val="00500DF2"/>
    <w:rsid w:val="0051112A"/>
    <w:rsid w:val="00521547"/>
    <w:rsid w:val="00575CE2"/>
    <w:rsid w:val="00583309"/>
    <w:rsid w:val="005B31D5"/>
    <w:rsid w:val="005C0EF5"/>
    <w:rsid w:val="005C240C"/>
    <w:rsid w:val="005C2E9B"/>
    <w:rsid w:val="005C4EA4"/>
    <w:rsid w:val="005E404D"/>
    <w:rsid w:val="005F2B6D"/>
    <w:rsid w:val="0060771F"/>
    <w:rsid w:val="006129F1"/>
    <w:rsid w:val="00642E46"/>
    <w:rsid w:val="006466E7"/>
    <w:rsid w:val="00666F61"/>
    <w:rsid w:val="00676D67"/>
    <w:rsid w:val="006B38C1"/>
    <w:rsid w:val="006D5847"/>
    <w:rsid w:val="006E4D01"/>
    <w:rsid w:val="00763FED"/>
    <w:rsid w:val="00766B7F"/>
    <w:rsid w:val="007D2506"/>
    <w:rsid w:val="007E547F"/>
    <w:rsid w:val="00812375"/>
    <w:rsid w:val="00815F25"/>
    <w:rsid w:val="0082139E"/>
    <w:rsid w:val="00827BBF"/>
    <w:rsid w:val="0083349B"/>
    <w:rsid w:val="008378A4"/>
    <w:rsid w:val="008676CB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9E78D6"/>
    <w:rsid w:val="00A1688B"/>
    <w:rsid w:val="00A16E34"/>
    <w:rsid w:val="00A21DD1"/>
    <w:rsid w:val="00A51C73"/>
    <w:rsid w:val="00A53017"/>
    <w:rsid w:val="00A62E4A"/>
    <w:rsid w:val="00A7554D"/>
    <w:rsid w:val="00A908FE"/>
    <w:rsid w:val="00AA26A9"/>
    <w:rsid w:val="00AB2450"/>
    <w:rsid w:val="00AC4993"/>
    <w:rsid w:val="00AE6E56"/>
    <w:rsid w:val="00B078E4"/>
    <w:rsid w:val="00B2385B"/>
    <w:rsid w:val="00B328C2"/>
    <w:rsid w:val="00B33A17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53761"/>
    <w:rsid w:val="00D570C0"/>
    <w:rsid w:val="00D82404"/>
    <w:rsid w:val="00DE6E94"/>
    <w:rsid w:val="00DE7452"/>
    <w:rsid w:val="00E07A2D"/>
    <w:rsid w:val="00E2022F"/>
    <w:rsid w:val="00E22EE8"/>
    <w:rsid w:val="00E34224"/>
    <w:rsid w:val="00E51E32"/>
    <w:rsid w:val="00E72CDB"/>
    <w:rsid w:val="00EB2A39"/>
    <w:rsid w:val="00EE47B8"/>
    <w:rsid w:val="00F105D7"/>
    <w:rsid w:val="00F1150C"/>
    <w:rsid w:val="00F639F1"/>
    <w:rsid w:val="00F85E4F"/>
    <w:rsid w:val="00FA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42E4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C3BD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C3BD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1C3BD2"/>
    <w:pPr>
      <w:ind w:leftChars="200" w:left="480"/>
    </w:pPr>
  </w:style>
  <w:style w:type="paragraph" w:styleId="a4">
    <w:name w:val="TOC Heading"/>
    <w:basedOn w:val="1"/>
    <w:next w:val="a"/>
    <w:uiPriority w:val="99"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99"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kern w:val="0"/>
      <w:sz w:val="22"/>
    </w:rPr>
  </w:style>
  <w:style w:type="paragraph" w:styleId="11">
    <w:name w:val="toc 1"/>
    <w:basedOn w:val="a"/>
    <w:next w:val="a"/>
    <w:autoRedefine/>
    <w:uiPriority w:val="99"/>
    <w:rsid w:val="006466E7"/>
    <w:pPr>
      <w:widowControl/>
      <w:tabs>
        <w:tab w:val="right" w:leader="dot" w:pos="8296"/>
      </w:tabs>
      <w:adjustRightInd w:val="0"/>
      <w:snapToGrid w:val="0"/>
      <w:spacing w:beforeLines="50" w:afterLines="50" w:line="300" w:lineRule="exact"/>
      <w:ind w:leftChars="100" w:left="240"/>
      <w:outlineLvl w:val="1"/>
    </w:pPr>
    <w:rPr>
      <w:rFonts w:ascii="標楷體" w:eastAsia="標楷體" w:hAnsi="標楷體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99"/>
    <w:rsid w:val="001C3BD2"/>
    <w:pPr>
      <w:widowControl/>
      <w:spacing w:after="100" w:line="259" w:lineRule="auto"/>
      <w:ind w:left="440"/>
    </w:pPr>
    <w:rPr>
      <w:kern w:val="0"/>
      <w:sz w:val="22"/>
    </w:rPr>
  </w:style>
  <w:style w:type="table" w:styleId="a5">
    <w:name w:val="Table Grid"/>
    <w:basedOn w:val="a1"/>
    <w:uiPriority w:val="99"/>
    <w:rsid w:val="00EE47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02C2B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2501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2501D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76D6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676D67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5分鐘看懂公務人員保障法部分條文修正重點</dc:title>
  <dc:creator>蔡璇慧</dc:creator>
  <cp:lastModifiedBy>user</cp:lastModifiedBy>
  <cp:revision>2</cp:revision>
  <cp:lastPrinted>2017-07-20T03:33:00Z</cp:lastPrinted>
  <dcterms:created xsi:type="dcterms:W3CDTF">2017-09-15T07:50:00Z</dcterms:created>
  <dcterms:modified xsi:type="dcterms:W3CDTF">2017-09-15T07:50:00Z</dcterms:modified>
</cp:coreProperties>
</file>